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566283">
        <w:rPr>
          <w:b/>
          <w:noProof/>
          <w:sz w:val="24"/>
        </w:rPr>
        <w:t>4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0458E9">
        <w:rPr>
          <w:b/>
          <w:noProof/>
          <w:sz w:val="24"/>
        </w:rPr>
        <w:t>1</w:t>
      </w:r>
      <w:r w:rsidR="00F5774F" w:rsidRPr="0033027D">
        <w:rPr>
          <w:b/>
          <w:noProof/>
          <w:sz w:val="24"/>
        </w:rPr>
        <w:t>xxxx</w:t>
      </w:r>
    </w:p>
    <w:p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566283">
        <w:rPr>
          <w:b/>
          <w:noProof/>
          <w:sz w:val="24"/>
        </w:rPr>
        <w:t>Dec</w:t>
      </w:r>
      <w:r w:rsidR="00DB0480">
        <w:rPr>
          <w:b/>
          <w:noProof/>
          <w:sz w:val="24"/>
        </w:rPr>
        <w:t>.</w:t>
      </w:r>
      <w:r w:rsidR="000458E9">
        <w:rPr>
          <w:b/>
          <w:noProof/>
          <w:sz w:val="24"/>
        </w:rPr>
        <w:t xml:space="preserve"> </w:t>
      </w:r>
      <w:r w:rsidR="00566283">
        <w:rPr>
          <w:b/>
          <w:noProof/>
          <w:sz w:val="24"/>
        </w:rPr>
        <w:t xml:space="preserve">6 </w:t>
      </w:r>
      <w:r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 w:rsidR="00B55FA0">
        <w:rPr>
          <w:b/>
          <w:noProof/>
          <w:sz w:val="24"/>
        </w:rPr>
        <w:t>1</w:t>
      </w:r>
      <w:r w:rsidR="00DB0480">
        <w:rPr>
          <w:b/>
          <w:noProof/>
          <w:sz w:val="24"/>
        </w:rPr>
        <w:t>7</w:t>
      </w:r>
      <w:r w:rsidRPr="00B01ACB">
        <w:rPr>
          <w:b/>
          <w:noProof/>
          <w:sz w:val="24"/>
        </w:rPr>
        <w:t>, 202</w:t>
      </w:r>
      <w:r w:rsidR="000458E9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</w:t>
      </w:r>
      <w:r w:rsidR="000458E9">
        <w:rPr>
          <w:rFonts w:eastAsia="Batang" w:cs="Arial"/>
          <w:sz w:val="18"/>
          <w:szCs w:val="18"/>
          <w:lang w:eastAsia="zh-CN"/>
        </w:rPr>
        <w:t>1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9F0772">
        <w:rPr>
          <w:rFonts w:ascii="Arial" w:eastAsia="Batang" w:hAnsi="Arial" w:cs="Arial"/>
          <w:b/>
          <w:lang w:eastAsia="zh-CN"/>
        </w:rPr>
        <w:t xml:space="preserve"> </w:t>
      </w:r>
      <w:r w:rsidR="00E41129">
        <w:rPr>
          <w:rFonts w:ascii="Arial" w:eastAsia="Batang" w:hAnsi="Arial" w:cs="Arial"/>
          <w:b/>
          <w:lang w:eastAsia="zh-CN"/>
        </w:rPr>
        <w:t>WID</w:t>
      </w:r>
      <w:r w:rsidR="00D31CC8">
        <w:rPr>
          <w:rFonts w:ascii="Arial" w:eastAsia="Batang" w:hAnsi="Arial" w:cs="Arial"/>
          <w:b/>
          <w:lang w:eastAsia="zh-CN"/>
        </w:rPr>
        <w:t xml:space="preserve">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E41129">
        <w:rPr>
          <w:rFonts w:ascii="Arial" w:eastAsia="Batang" w:hAnsi="Arial" w:cs="Arial"/>
          <w:b/>
          <w:lang w:eastAsia="zh-CN"/>
        </w:rPr>
        <w:t>IDC Enhancements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F0772">
        <w:t xml:space="preserve">Study on UE aggregation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253A9">
        <w:t xml:space="preserve"> </w:t>
      </w:r>
      <w:r w:rsidR="00E41129">
        <w:t>NR_eIDC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E4112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F0772">
        <w:rPr>
          <w:rFonts w:ascii="Arial" w:hAnsi="Arial"/>
          <w:sz w:val="32"/>
        </w:rPr>
        <w:t xml:space="preserve"> Rel-18</w:t>
      </w:r>
      <w:r w:rsidR="009F0772">
        <w:t xml:space="preserve"> </w:t>
      </w:r>
    </w:p>
    <w:p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9F07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9F07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E411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E41129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F077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F077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F077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Tr="009F0772">
        <w:tc>
          <w:tcPr>
            <w:tcW w:w="10314" w:type="dxa"/>
            <w:gridSpan w:val="3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9F0772"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9F0772"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9F0772" w:rsidRDefault="009F0772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574C54" w:rsidRPr="00574C54" w:rsidRDefault="00574C54" w:rsidP="00574C54">
      <w:pPr>
        <w:ind w:firstLine="720"/>
        <w:rPr>
          <w:i/>
        </w:rPr>
      </w:pPr>
      <w:r w:rsidRPr="00574C54">
        <w:rPr>
          <w:rFonts w:ascii="TimesNewRomanPSMT" w:eastAsia="TimesNewRomanPSMT" w:cs="TimesNewRomanPSMT"/>
          <w:i/>
          <w:sz w:val="22"/>
          <w:szCs w:val="22"/>
          <w:lang w:val="en-US" w:eastAsia="zh-TW"/>
        </w:rPr>
        <w:t>Editor</w:t>
      </w:r>
      <w:r w:rsidRPr="00574C54">
        <w:rPr>
          <w:rFonts w:ascii="TimesNewRomanPSMT" w:eastAsia="TimesNewRomanPSMT" w:cs="TimesNewRomanPSMT"/>
          <w:i/>
          <w:sz w:val="22"/>
          <w:szCs w:val="22"/>
          <w:lang w:val="en-US" w:eastAsia="zh-TW"/>
        </w:rPr>
        <w:t>’</w:t>
      </w:r>
      <w:r w:rsidRPr="00574C54">
        <w:rPr>
          <w:rFonts w:ascii="TimesNewRomanPSMT" w:eastAsia="TimesNewRomanPSMT" w:cs="TimesNewRomanPSMT"/>
          <w:i/>
          <w:sz w:val="22"/>
          <w:szCs w:val="22"/>
          <w:lang w:val="en-US" w:eastAsia="zh-TW"/>
        </w:rPr>
        <w:t>s note: The Justification is preliminary</w:t>
      </w:r>
    </w:p>
    <w:p w:rsidR="00E41129" w:rsidRDefault="00E41129" w:rsidP="009F0772">
      <w:r>
        <w:t xml:space="preserve">As a general assumption, IDC is assumed to work as follows: </w:t>
      </w:r>
    </w:p>
    <w:p w:rsidR="00E41129" w:rsidRDefault="00E41129" w:rsidP="00E41129">
      <w:pPr>
        <w:pStyle w:val="ListParagraph"/>
        <w:numPr>
          <w:ilvl w:val="0"/>
          <w:numId w:val="10"/>
        </w:numPr>
      </w:pPr>
      <w:r>
        <w:t xml:space="preserve">The UE detects internal issue or the possibility of internal issue caused by coexistence related to usage of certain radio resources, that the UE cannot resolve by itself. </w:t>
      </w:r>
    </w:p>
    <w:p w:rsidR="00E41129" w:rsidRDefault="00E41129" w:rsidP="00E41129">
      <w:pPr>
        <w:pStyle w:val="ListParagraph"/>
        <w:numPr>
          <w:ilvl w:val="0"/>
          <w:numId w:val="10"/>
        </w:numPr>
      </w:pPr>
      <w:r>
        <w:t xml:space="preserve">The UE provides information to the gNB to assist that the gNB may restrict radio resource usage to avoid the UE internal issue (or potential issue) caused by coexistence. </w:t>
      </w:r>
    </w:p>
    <w:p w:rsidR="00574C54" w:rsidRDefault="00574C54" w:rsidP="00574C54">
      <w:pPr>
        <w:overflowPunct/>
        <w:spacing w:after="0"/>
        <w:textAlignment w:val="auto"/>
        <w:rPr>
          <w:rFonts w:ascii="TimesNewRomanPSMT" w:eastAsia="TimesNewRomanPSMT" w:cs="TimesNewRomanPSMT"/>
          <w:sz w:val="22"/>
          <w:szCs w:val="22"/>
          <w:lang w:val="en-US" w:eastAsia="zh-TW"/>
        </w:rPr>
      </w:pPr>
      <w:r>
        <w:rPr>
          <w:rFonts w:ascii="TimesNewRomanPSMT" w:eastAsia="TimesNewRomanPSMT" w:cs="TimesNewRomanPSMT"/>
          <w:sz w:val="22"/>
          <w:szCs w:val="22"/>
          <w:lang w:val="en-US" w:eastAsia="zh-TW"/>
        </w:rPr>
        <w:t>The current IDC solution in NR has the following limitations: It does not support well interference between</w:t>
      </w:r>
    </w:p>
    <w:p w:rsidR="00574C54" w:rsidRDefault="00574C54" w:rsidP="00574C54">
      <w:pPr>
        <w:overflowPunct/>
        <w:spacing w:after="0"/>
        <w:textAlignment w:val="auto"/>
        <w:rPr>
          <w:rFonts w:ascii="TimesNewRomanPSMT" w:eastAsia="TimesNewRomanPSMT" w:cs="TimesNewRomanPSMT"/>
          <w:sz w:val="22"/>
          <w:szCs w:val="22"/>
          <w:lang w:val="en-US" w:eastAsia="zh-TW"/>
        </w:rPr>
      </w:pPr>
      <w:r>
        <w:rPr>
          <w:rFonts w:ascii="TimesNewRomanPSMT" w:eastAsia="TimesNewRomanPSMT" w:cs="TimesNewRomanPSMT"/>
          <w:sz w:val="22"/>
          <w:szCs w:val="22"/>
          <w:lang w:val="en-US" w:eastAsia="zh-TW"/>
        </w:rPr>
        <w:t>3GPP and Other RAT, as e.g. the affected frequencies cannot be adequately indicated. Introducing a TDM</w:t>
      </w:r>
    </w:p>
    <w:p w:rsidR="00574C54" w:rsidRDefault="00574C54" w:rsidP="00574C54">
      <w:pPr>
        <w:overflowPunct/>
        <w:spacing w:after="0"/>
        <w:textAlignment w:val="auto"/>
        <w:rPr>
          <w:rFonts w:ascii="TimesNewRomanPSMT" w:eastAsia="TimesNewRomanPSMT" w:cs="TimesNewRomanPSMT"/>
          <w:sz w:val="22"/>
          <w:szCs w:val="22"/>
          <w:lang w:val="en-US" w:eastAsia="zh-TW"/>
        </w:rPr>
      </w:pPr>
      <w:r>
        <w:rPr>
          <w:rFonts w:ascii="TimesNewRomanPSMT" w:eastAsia="TimesNewRomanPSMT" w:cs="TimesNewRomanPSMT"/>
          <w:sz w:val="22"/>
          <w:szCs w:val="22"/>
          <w:lang w:val="en-US" w:eastAsia="zh-TW"/>
        </w:rPr>
        <w:t>solution would make it possible to handle scenarios for which alternative non-interfered frequencies are not</w:t>
      </w:r>
    </w:p>
    <w:p w:rsidR="00574C54" w:rsidRDefault="00574C54" w:rsidP="00574C54">
      <w:pPr>
        <w:overflowPunct/>
        <w:spacing w:after="0"/>
        <w:textAlignment w:val="auto"/>
        <w:rPr>
          <w:rFonts w:ascii="TimesNewRomanPSMT" w:eastAsia="TimesNewRomanPSMT" w:cs="TimesNewRomanPSMT"/>
          <w:sz w:val="22"/>
          <w:szCs w:val="22"/>
          <w:lang w:val="en-US" w:eastAsia="zh-TW"/>
        </w:rPr>
      </w:pPr>
      <w:r>
        <w:rPr>
          <w:rFonts w:ascii="TimesNewRomanPSMT" w:eastAsia="TimesNewRomanPSMT" w:cs="TimesNewRomanPSMT"/>
          <w:sz w:val="22"/>
          <w:szCs w:val="22"/>
          <w:lang w:val="en-US" w:eastAsia="zh-TW"/>
        </w:rPr>
        <w:t>available. An important scenario for TDM is to address cases of inter-modulation interference in Dual</w:t>
      </w:r>
    </w:p>
    <w:p w:rsidR="00574C54" w:rsidRDefault="00574C54" w:rsidP="00574C54">
      <w:pPr>
        <w:overflowPunct/>
        <w:spacing w:after="0"/>
        <w:textAlignment w:val="auto"/>
      </w:pPr>
      <w:r>
        <w:rPr>
          <w:rFonts w:ascii="TimesNewRomanPSMT" w:eastAsia="TimesNewRomanPSMT" w:cs="TimesNewRomanPSMT"/>
          <w:sz w:val="22"/>
          <w:szCs w:val="22"/>
          <w:lang w:val="en-US" w:eastAsia="zh-TW"/>
        </w:rPr>
        <w:t>Connectivity, where the UE has at least two uplink frequencies configured. The TDM solution may be used to</w:t>
      </w:r>
      <w:r>
        <w:rPr>
          <w:rFonts w:ascii="TimesNewRomanPSMT" w:eastAsia="TimesNewRomanPSMT" w:cs="TimesNewRomanPSMT"/>
          <w:sz w:val="22"/>
          <w:szCs w:val="22"/>
          <w:lang w:val="en-US" w:eastAsia="zh-TW"/>
        </w:rPr>
        <w:t xml:space="preserve"> </w:t>
      </w:r>
      <w:r>
        <w:rPr>
          <w:rFonts w:ascii="TimesNewRomanPSMT" w:eastAsia="TimesNewRomanPSMT" w:cs="TimesNewRomanPSMT"/>
          <w:sz w:val="22"/>
          <w:szCs w:val="22"/>
          <w:lang w:val="en-US" w:eastAsia="zh-TW"/>
        </w:rPr>
        <w:t>avoid the interference caused by simultaneous uplink transmission on the UL frequencies to Other RAT.</w:t>
      </w:r>
    </w:p>
    <w:p w:rsidR="008A76FD" w:rsidRDefault="008A76FD" w:rsidP="001C5C86">
      <w:pPr>
        <w:pStyle w:val="Heading2"/>
      </w:pPr>
      <w:bookmarkStart w:id="2" w:name="_GoBack"/>
      <w:bookmarkEnd w:id="2"/>
      <w:r>
        <w:t>4</w:t>
      </w:r>
      <w: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574C54" w:rsidRDefault="00574C54" w:rsidP="00574C54">
      <w:pPr>
        <w:overflowPunct/>
        <w:spacing w:after="0"/>
        <w:textAlignment w:val="auto"/>
        <w:rPr>
          <w:rFonts w:ascii="TimesNewRomanPSMT" w:eastAsia="TimesNewRomanPSMT" w:cs="TimesNewRomanPSMT"/>
          <w:sz w:val="22"/>
          <w:szCs w:val="22"/>
          <w:lang w:val="en-US" w:eastAsia="zh-TW"/>
        </w:rPr>
      </w:pPr>
      <w:r>
        <w:rPr>
          <w:rFonts w:ascii="TimesNewRomanPSMT" w:eastAsia="TimesNewRomanPSMT" w:cs="TimesNewRomanPSMT"/>
          <w:sz w:val="22"/>
          <w:szCs w:val="22"/>
          <w:lang w:val="en-US" w:eastAsia="zh-TW"/>
        </w:rPr>
        <w:t>This WI expects to address Interference between 3GPP (including various MR-DC architectures, i.e. NR-DC</w:t>
      </w:r>
      <w:r>
        <w:rPr>
          <w:rFonts w:ascii="TimesNewRomanPSMT" w:eastAsia="TimesNewRomanPSMT" w:cs="TimesNewRomanPSMT"/>
          <w:sz w:val="22"/>
          <w:szCs w:val="22"/>
          <w:lang w:val="en-US" w:eastAsia="zh-TW"/>
        </w:rPr>
        <w:t xml:space="preserve"> </w:t>
      </w:r>
      <w:r>
        <w:rPr>
          <w:rFonts w:ascii="TimesNewRomanPSMT" w:eastAsia="TimesNewRomanPSMT" w:cs="TimesNewRomanPSMT"/>
          <w:sz w:val="22"/>
          <w:szCs w:val="22"/>
          <w:lang w:val="en-US" w:eastAsia="zh-TW"/>
        </w:rPr>
        <w:t>and EN-DC) and other RAT (e.g. WiFi).</w:t>
      </w:r>
    </w:p>
    <w:p w:rsidR="00574C54" w:rsidRPr="00574C54" w:rsidRDefault="00574C54" w:rsidP="00574C54">
      <w:pPr>
        <w:pStyle w:val="ListParagraph"/>
        <w:numPr>
          <w:ilvl w:val="0"/>
          <w:numId w:val="12"/>
        </w:numPr>
        <w:overflowPunct/>
        <w:spacing w:after="0"/>
        <w:textAlignment w:val="auto"/>
        <w:rPr>
          <w:rFonts w:ascii="TimesNewRomanPSMT" w:eastAsia="TimesNewRomanPSMT" w:cs="TimesNewRomanPSMT"/>
          <w:sz w:val="22"/>
          <w:szCs w:val="22"/>
          <w:lang w:val="en-US" w:eastAsia="zh-TW"/>
        </w:rPr>
      </w:pPr>
      <w:r w:rsidRPr="00574C54">
        <w:rPr>
          <w:rFonts w:ascii="TimesNewRomanPSMT" w:eastAsia="TimesNewRomanPSMT" w:cs="TimesNewRomanPSMT"/>
          <w:sz w:val="22"/>
          <w:szCs w:val="22"/>
          <w:lang w:val="en-US" w:eastAsia="zh-TW"/>
        </w:rPr>
        <w:t>Enhancements to FDM solution, to allow more granular indication of affected frequencies (e.g.</w:t>
      </w:r>
      <w:r w:rsidRPr="00574C54">
        <w:rPr>
          <w:rFonts w:ascii="TimesNewRomanPSMT" w:eastAsia="TimesNewRomanPSMT" w:cs="TimesNewRomanPSMT"/>
          <w:sz w:val="22"/>
          <w:szCs w:val="22"/>
          <w:lang w:val="en-US" w:eastAsia="zh-TW"/>
        </w:rPr>
        <w:t xml:space="preserve"> </w:t>
      </w:r>
      <w:r w:rsidRPr="00574C54">
        <w:rPr>
          <w:rFonts w:ascii="TimesNewRomanPSMT" w:eastAsia="TimesNewRomanPSMT" w:cs="TimesNewRomanPSMT"/>
          <w:sz w:val="22"/>
          <w:szCs w:val="22"/>
          <w:lang w:val="en-US" w:eastAsia="zh-TW"/>
        </w:rPr>
        <w:t>granularity of BWP or PRB level). (RAN2)</w:t>
      </w:r>
    </w:p>
    <w:p w:rsidR="00574C54" w:rsidRPr="00574C54" w:rsidRDefault="00574C54" w:rsidP="00A65E17">
      <w:pPr>
        <w:pStyle w:val="ListParagraph"/>
        <w:numPr>
          <w:ilvl w:val="0"/>
          <w:numId w:val="12"/>
        </w:numPr>
        <w:overflowPunct/>
        <w:spacing w:after="0"/>
        <w:textAlignment w:val="auto"/>
        <w:rPr>
          <w:bCs/>
        </w:rPr>
      </w:pPr>
      <w:r w:rsidRPr="00574C54">
        <w:rPr>
          <w:rFonts w:ascii="TimesNewRomanPSMT" w:eastAsia="TimesNewRomanPSMT" w:cs="TimesNewRomanPSMT"/>
          <w:sz w:val="22"/>
          <w:szCs w:val="22"/>
          <w:lang w:val="en-US" w:eastAsia="zh-TW"/>
        </w:rPr>
        <w:t>Introduction of TDM solution (e.g. indication of UE preferred TDM pattern for UL/DL). (RAN2).</w:t>
      </w:r>
      <w:r>
        <w:rPr>
          <w:rFonts w:ascii="TimesNewRomanPSMT" w:eastAsia="TimesNewRomanPSMT" w:cs="TimesNewRomanPSMT"/>
          <w:sz w:val="22"/>
          <w:szCs w:val="22"/>
          <w:lang w:val="en-US" w:eastAsia="zh-TW"/>
        </w:rPr>
        <w:br/>
      </w:r>
      <w:r w:rsidRPr="00574C54">
        <w:rPr>
          <w:rFonts w:ascii="TimesNewRomanPSMT" w:eastAsia="TimesNewRomanPSMT" w:cs="TimesNewRomanPSMT"/>
          <w:sz w:val="22"/>
          <w:szCs w:val="22"/>
          <w:lang w:val="en-US" w:eastAsia="zh-TW"/>
        </w:rPr>
        <w:t>Note: The TDM solution is considered complementary to the FDM solution.</w:t>
      </w:r>
    </w:p>
    <w:p w:rsidR="0040240E" w:rsidRDefault="0040240E" w:rsidP="0040240E">
      <w:pPr>
        <w:spacing w:after="0"/>
        <w:rPr>
          <w:bCs/>
        </w:rPr>
      </w:pPr>
    </w:p>
    <w:p w:rsidR="0040240E" w:rsidRDefault="00574C54" w:rsidP="0040240E">
      <w:pPr>
        <w:spacing w:after="0"/>
        <w:rPr>
          <w:rFonts w:ascii="TimesNewRomanPSMT" w:eastAsia="TimesNewRomanPSMT" w:cs="TimesNewRomanPSMT"/>
          <w:sz w:val="22"/>
          <w:szCs w:val="22"/>
          <w:lang w:val="en-US" w:eastAsia="zh-TW"/>
        </w:rPr>
      </w:pPr>
      <w:r>
        <w:rPr>
          <w:rFonts w:ascii="TimesNewRomanPSMT" w:eastAsia="TimesNewRomanPSMT" w:cs="TimesNewRomanPSMT"/>
          <w:sz w:val="22"/>
          <w:szCs w:val="22"/>
          <w:lang w:val="en-US" w:eastAsia="zh-TW"/>
        </w:rPr>
        <w:t>Note: LTE should be considered a baseline for the solutions developed in this WI.</w:t>
      </w:r>
    </w:p>
    <w:p w:rsidR="00574C54" w:rsidRPr="00A7059D" w:rsidRDefault="00574C54" w:rsidP="0040240E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&lt;FamilyName&gt;, &lt;GivenName&gt;, &lt;Company&gt;, &lt;email address&gt;}</w:t>
            </w:r>
          </w:p>
        </w:tc>
      </w:tr>
    </w:tbl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46689D" w:rsidRPr="0046689D" w:rsidRDefault="0046689D" w:rsidP="0046689D"/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46689D" w:rsidRDefault="0046689D" w:rsidP="0033027D">
      <w:pPr>
        <w:ind w:right="-99"/>
      </w:pPr>
      <w:r w:rsidRPr="0046689D">
        <w:t>RAN2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E41129" w:rsidP="00174617">
      <w:r>
        <w:t>None Identified yet</w:t>
      </w: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57B2E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57D0" w:rsidRDefault="000357D0">
      <w:r>
        <w:separator/>
      </w:r>
    </w:p>
  </w:endnote>
  <w:endnote w:type="continuationSeparator" w:id="0">
    <w:p w:rsidR="000357D0" w:rsidRDefault="00035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新細明體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57D0" w:rsidRDefault="000357D0">
      <w:r>
        <w:separator/>
      </w:r>
    </w:p>
  </w:footnote>
  <w:footnote w:type="continuationSeparator" w:id="0">
    <w:p w:rsidR="000357D0" w:rsidRDefault="000357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A2EB0"/>
    <w:multiLevelType w:val="hybridMultilevel"/>
    <w:tmpl w:val="DF349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36134"/>
    <w:multiLevelType w:val="hybridMultilevel"/>
    <w:tmpl w:val="C41CD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61B4D"/>
    <w:multiLevelType w:val="hybridMultilevel"/>
    <w:tmpl w:val="79202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5052C"/>
    <w:multiLevelType w:val="hybridMultilevel"/>
    <w:tmpl w:val="BC98C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C1211B9"/>
    <w:multiLevelType w:val="hybridMultilevel"/>
    <w:tmpl w:val="3AFC2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57D0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808F9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1BD2"/>
    <w:rsid w:val="004260A5"/>
    <w:rsid w:val="00432283"/>
    <w:rsid w:val="0043745F"/>
    <w:rsid w:val="00437F58"/>
    <w:rsid w:val="0044029F"/>
    <w:rsid w:val="00440BC9"/>
    <w:rsid w:val="00454609"/>
    <w:rsid w:val="00455DE4"/>
    <w:rsid w:val="0046689D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74C54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6FC3"/>
    <w:rsid w:val="00707673"/>
    <w:rsid w:val="007162BE"/>
    <w:rsid w:val="00722267"/>
    <w:rsid w:val="00734F29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42BC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0772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55F3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53A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E007C5"/>
    <w:rsid w:val="00E00DBF"/>
    <w:rsid w:val="00E012E1"/>
    <w:rsid w:val="00E0213F"/>
    <w:rsid w:val="00E033E0"/>
    <w:rsid w:val="00E10269"/>
    <w:rsid w:val="00E1026B"/>
    <w:rsid w:val="00E13CB2"/>
    <w:rsid w:val="00E20C37"/>
    <w:rsid w:val="00E41129"/>
    <w:rsid w:val="00E52C57"/>
    <w:rsid w:val="00E57E7D"/>
    <w:rsid w:val="00E70355"/>
    <w:rsid w:val="00E71850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344A138-A669-4E5A-A511-932E5BA3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2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66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66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62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62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2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6283"/>
    <w:pPr>
      <w:outlineLvl w:val="5"/>
    </w:pPr>
  </w:style>
  <w:style w:type="paragraph" w:styleId="Heading7">
    <w:name w:val="heading 7"/>
    <w:basedOn w:val="H6"/>
    <w:next w:val="Normal"/>
    <w:qFormat/>
    <w:rsid w:val="00566283"/>
    <w:pPr>
      <w:outlineLvl w:val="6"/>
    </w:pPr>
  </w:style>
  <w:style w:type="paragraph" w:styleId="Heading8">
    <w:name w:val="heading 8"/>
    <w:basedOn w:val="Heading1"/>
    <w:next w:val="Normal"/>
    <w:qFormat/>
    <w:rsid w:val="005662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62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662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66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62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66283"/>
    <w:pPr>
      <w:spacing w:before="180"/>
      <w:ind w:left="2693" w:hanging="2693"/>
    </w:pPr>
    <w:rPr>
      <w:b/>
    </w:rPr>
  </w:style>
  <w:style w:type="paragraph" w:styleId="TOC1">
    <w:name w:val="toc 1"/>
    <w:semiHidden/>
    <w:rsid w:val="00566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66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66283"/>
    <w:pPr>
      <w:ind w:left="1701" w:hanging="1701"/>
    </w:pPr>
  </w:style>
  <w:style w:type="paragraph" w:styleId="TOC4">
    <w:name w:val="toc 4"/>
    <w:basedOn w:val="TOC3"/>
    <w:semiHidden/>
    <w:rsid w:val="00566283"/>
    <w:pPr>
      <w:ind w:left="1418" w:hanging="1418"/>
    </w:pPr>
  </w:style>
  <w:style w:type="paragraph" w:styleId="TOC3">
    <w:name w:val="toc 3"/>
    <w:basedOn w:val="TOC2"/>
    <w:semiHidden/>
    <w:rsid w:val="00566283"/>
    <w:pPr>
      <w:ind w:left="1134" w:hanging="1134"/>
    </w:pPr>
  </w:style>
  <w:style w:type="paragraph" w:styleId="TOC2">
    <w:name w:val="toc 2"/>
    <w:basedOn w:val="TOC1"/>
    <w:semiHidden/>
    <w:rsid w:val="005662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6283"/>
    <w:pPr>
      <w:ind w:left="284"/>
    </w:pPr>
  </w:style>
  <w:style w:type="paragraph" w:styleId="Index1">
    <w:name w:val="index 1"/>
    <w:basedOn w:val="Normal"/>
    <w:semiHidden/>
    <w:rsid w:val="00566283"/>
    <w:pPr>
      <w:keepLines/>
      <w:spacing w:after="0"/>
    </w:pPr>
  </w:style>
  <w:style w:type="paragraph" w:customStyle="1" w:styleId="ZH">
    <w:name w:val="ZH"/>
    <w:rsid w:val="00566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66283"/>
    <w:pPr>
      <w:outlineLvl w:val="9"/>
    </w:pPr>
  </w:style>
  <w:style w:type="paragraph" w:styleId="ListNumber2">
    <w:name w:val="List Number 2"/>
    <w:basedOn w:val="ListNumber"/>
    <w:rsid w:val="00566283"/>
    <w:pPr>
      <w:ind w:left="851"/>
    </w:pPr>
  </w:style>
  <w:style w:type="character" w:styleId="FootnoteReference">
    <w:name w:val="footnote reference"/>
    <w:semiHidden/>
    <w:rsid w:val="00566283"/>
    <w:rPr>
      <w:b/>
      <w:position w:val="6"/>
      <w:sz w:val="16"/>
    </w:rPr>
  </w:style>
  <w:style w:type="paragraph" w:styleId="FootnoteText">
    <w:name w:val="footnote text"/>
    <w:basedOn w:val="Normal"/>
    <w:semiHidden/>
    <w:rsid w:val="00566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6283"/>
    <w:pPr>
      <w:jc w:val="center"/>
    </w:pPr>
  </w:style>
  <w:style w:type="paragraph" w:customStyle="1" w:styleId="TF">
    <w:name w:val="TF"/>
    <w:basedOn w:val="TH"/>
    <w:rsid w:val="00566283"/>
    <w:pPr>
      <w:keepNext w:val="0"/>
      <w:spacing w:before="0" w:after="240"/>
    </w:pPr>
  </w:style>
  <w:style w:type="paragraph" w:customStyle="1" w:styleId="NO">
    <w:name w:val="NO"/>
    <w:basedOn w:val="Normal"/>
    <w:rsid w:val="00566283"/>
    <w:pPr>
      <w:keepLines/>
      <w:ind w:left="1135" w:hanging="851"/>
    </w:pPr>
  </w:style>
  <w:style w:type="paragraph" w:styleId="TOC9">
    <w:name w:val="toc 9"/>
    <w:basedOn w:val="TOC8"/>
    <w:semiHidden/>
    <w:rsid w:val="00566283"/>
    <w:pPr>
      <w:ind w:left="1418" w:hanging="1418"/>
    </w:pPr>
  </w:style>
  <w:style w:type="paragraph" w:customStyle="1" w:styleId="EX">
    <w:name w:val="EX"/>
    <w:basedOn w:val="Normal"/>
    <w:rsid w:val="00566283"/>
    <w:pPr>
      <w:keepLines/>
      <w:ind w:left="1702" w:hanging="1418"/>
    </w:pPr>
  </w:style>
  <w:style w:type="paragraph" w:customStyle="1" w:styleId="FP">
    <w:name w:val="FP"/>
    <w:basedOn w:val="Normal"/>
    <w:rsid w:val="00566283"/>
    <w:pPr>
      <w:spacing w:after="0"/>
    </w:pPr>
  </w:style>
  <w:style w:type="paragraph" w:customStyle="1" w:styleId="LD">
    <w:name w:val="LD"/>
    <w:rsid w:val="00566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66283"/>
    <w:pPr>
      <w:spacing w:after="0"/>
    </w:pPr>
  </w:style>
  <w:style w:type="paragraph" w:customStyle="1" w:styleId="EW">
    <w:name w:val="EW"/>
    <w:basedOn w:val="EX"/>
    <w:rsid w:val="00566283"/>
    <w:pPr>
      <w:spacing w:after="0"/>
    </w:pPr>
  </w:style>
  <w:style w:type="paragraph" w:styleId="TOC6">
    <w:name w:val="toc 6"/>
    <w:basedOn w:val="TOC5"/>
    <w:next w:val="Normal"/>
    <w:semiHidden/>
    <w:rsid w:val="00566283"/>
    <w:pPr>
      <w:ind w:left="1985" w:hanging="1985"/>
    </w:pPr>
  </w:style>
  <w:style w:type="paragraph" w:styleId="TOC7">
    <w:name w:val="toc 7"/>
    <w:basedOn w:val="TOC6"/>
    <w:next w:val="Normal"/>
    <w:semiHidden/>
    <w:rsid w:val="00566283"/>
    <w:pPr>
      <w:ind w:left="2268" w:hanging="2268"/>
    </w:pPr>
  </w:style>
  <w:style w:type="paragraph" w:styleId="ListBullet2">
    <w:name w:val="List Bullet 2"/>
    <w:basedOn w:val="ListBullet"/>
    <w:rsid w:val="00566283"/>
    <w:pPr>
      <w:ind w:left="851"/>
    </w:pPr>
  </w:style>
  <w:style w:type="paragraph" w:styleId="ListBullet3">
    <w:name w:val="List Bullet 3"/>
    <w:basedOn w:val="ListBullet2"/>
    <w:rsid w:val="00566283"/>
    <w:pPr>
      <w:ind w:left="1135"/>
    </w:pPr>
  </w:style>
  <w:style w:type="paragraph" w:styleId="ListNumber">
    <w:name w:val="List Number"/>
    <w:basedOn w:val="List"/>
    <w:rsid w:val="00566283"/>
  </w:style>
  <w:style w:type="paragraph" w:customStyle="1" w:styleId="EQ">
    <w:name w:val="EQ"/>
    <w:basedOn w:val="Normal"/>
    <w:next w:val="Normal"/>
    <w:rsid w:val="00566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6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66283"/>
    <w:pPr>
      <w:jc w:val="right"/>
    </w:pPr>
  </w:style>
  <w:style w:type="paragraph" w:customStyle="1" w:styleId="H6">
    <w:name w:val="H6"/>
    <w:basedOn w:val="Heading5"/>
    <w:next w:val="Normal"/>
    <w:rsid w:val="00566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283"/>
    <w:pPr>
      <w:ind w:left="851" w:hanging="851"/>
    </w:pPr>
  </w:style>
  <w:style w:type="paragraph" w:customStyle="1" w:styleId="ZA">
    <w:name w:val="ZA"/>
    <w:rsid w:val="00566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66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66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66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66283"/>
    <w:pPr>
      <w:framePr w:wrap="notBeside" w:y="16161"/>
    </w:pPr>
  </w:style>
  <w:style w:type="character" w:customStyle="1" w:styleId="ZGSM">
    <w:name w:val="ZGSM"/>
    <w:rsid w:val="00566283"/>
  </w:style>
  <w:style w:type="paragraph" w:styleId="List2">
    <w:name w:val="List 2"/>
    <w:basedOn w:val="List"/>
    <w:rsid w:val="00566283"/>
    <w:pPr>
      <w:ind w:left="851"/>
    </w:pPr>
  </w:style>
  <w:style w:type="paragraph" w:customStyle="1" w:styleId="ZG">
    <w:name w:val="ZG"/>
    <w:rsid w:val="00566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66283"/>
    <w:pPr>
      <w:ind w:left="1135"/>
    </w:pPr>
  </w:style>
  <w:style w:type="paragraph" w:styleId="List4">
    <w:name w:val="List 4"/>
    <w:basedOn w:val="List3"/>
    <w:rsid w:val="00566283"/>
    <w:pPr>
      <w:ind w:left="1418"/>
    </w:pPr>
  </w:style>
  <w:style w:type="paragraph" w:styleId="List5">
    <w:name w:val="List 5"/>
    <w:basedOn w:val="List4"/>
    <w:rsid w:val="00566283"/>
    <w:pPr>
      <w:ind w:left="1702"/>
    </w:pPr>
  </w:style>
  <w:style w:type="paragraph" w:customStyle="1" w:styleId="EditorsNote">
    <w:name w:val="Editor's Note"/>
    <w:basedOn w:val="NO"/>
    <w:rsid w:val="00566283"/>
    <w:rPr>
      <w:color w:val="FF0000"/>
    </w:rPr>
  </w:style>
  <w:style w:type="paragraph" w:styleId="List">
    <w:name w:val="List"/>
    <w:basedOn w:val="Normal"/>
    <w:rsid w:val="00566283"/>
    <w:pPr>
      <w:ind w:left="568" w:hanging="284"/>
    </w:pPr>
  </w:style>
  <w:style w:type="paragraph" w:styleId="ListBullet">
    <w:name w:val="List Bullet"/>
    <w:basedOn w:val="List"/>
    <w:rsid w:val="00566283"/>
  </w:style>
  <w:style w:type="paragraph" w:styleId="ListBullet4">
    <w:name w:val="List Bullet 4"/>
    <w:basedOn w:val="ListBullet3"/>
    <w:rsid w:val="00566283"/>
    <w:pPr>
      <w:ind w:left="1418"/>
    </w:pPr>
  </w:style>
  <w:style w:type="paragraph" w:styleId="ListBullet5">
    <w:name w:val="List Bullet 5"/>
    <w:basedOn w:val="ListBullet4"/>
    <w:rsid w:val="00566283"/>
    <w:pPr>
      <w:ind w:left="1702"/>
    </w:pPr>
  </w:style>
  <w:style w:type="paragraph" w:customStyle="1" w:styleId="B1">
    <w:name w:val="B1"/>
    <w:basedOn w:val="List"/>
    <w:rsid w:val="00566283"/>
  </w:style>
  <w:style w:type="paragraph" w:customStyle="1" w:styleId="B2">
    <w:name w:val="B2"/>
    <w:basedOn w:val="List2"/>
    <w:rsid w:val="00566283"/>
  </w:style>
  <w:style w:type="paragraph" w:customStyle="1" w:styleId="B3">
    <w:name w:val="B3"/>
    <w:basedOn w:val="List3"/>
    <w:rsid w:val="00566283"/>
  </w:style>
  <w:style w:type="paragraph" w:customStyle="1" w:styleId="B4">
    <w:name w:val="B4"/>
    <w:basedOn w:val="List4"/>
    <w:rsid w:val="00566283"/>
  </w:style>
  <w:style w:type="paragraph" w:customStyle="1" w:styleId="B5">
    <w:name w:val="B5"/>
    <w:basedOn w:val="List5"/>
    <w:rsid w:val="00566283"/>
  </w:style>
  <w:style w:type="paragraph" w:styleId="Footer">
    <w:name w:val="footer"/>
    <w:basedOn w:val="Header"/>
    <w:rsid w:val="00566283"/>
    <w:pPr>
      <w:jc w:val="center"/>
    </w:pPr>
    <w:rPr>
      <w:i/>
    </w:rPr>
  </w:style>
  <w:style w:type="paragraph" w:customStyle="1" w:styleId="ZTD">
    <w:name w:val="ZTD"/>
    <w:basedOn w:val="ZB"/>
    <w:rsid w:val="005662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F07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5DC808-B306-4C69-A1D2-909119F77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1132</Words>
  <Characters>6458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22</vt:i4>
      </vt:variant>
    </vt:vector>
  </HeadingPairs>
  <TitlesOfParts>
    <vt:vector size="23" baseType="lpstr">
      <vt:lpstr>WID Template</vt:lpstr>
      <vt:lpstr/>
      <vt:lpstr>Source:	xxx</vt:lpstr>
      <vt:lpstr>Title:	New SID on High Speed Packetization</vt:lpstr>
      <vt:lpstr>Document for:	Approval</vt:lpstr>
      <vt:lpstr>Title: 	Study on UE aggregation </vt:lpstr>
      <vt:lpstr>    Acronym: FS_HSpacket </vt:lpstr>
      <vt:lpstr>    Unique identifier: 	{A number to be provided by MCC at the plenary} </vt:lpstr>
      <vt:lpstr>    1	Impacts 	{ For Normative work, identify the anticipated impacts. For a Study,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>ETSI</Company>
  <LinksUpToDate>false</LinksUpToDate>
  <CharactersWithSpaces>7575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Johan Johansson</cp:lastModifiedBy>
  <cp:revision>4</cp:revision>
  <cp:lastPrinted>2000-02-29T09:31:00Z</cp:lastPrinted>
  <dcterms:created xsi:type="dcterms:W3CDTF">2021-10-28T00:25:00Z</dcterms:created>
  <dcterms:modified xsi:type="dcterms:W3CDTF">2021-10-29T19:00:00Z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